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7D6558A1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352762" w:rsidRPr="00352762">
        <w:rPr>
          <w:rFonts w:ascii="Arial Nova" w:hAnsi="Arial Nova"/>
          <w:b w:val="0"/>
          <w:bCs w:val="0"/>
          <w:i w:val="0"/>
          <w:iCs w:val="0"/>
          <w:szCs w:val="22"/>
        </w:rPr>
        <w:t>Law lecturer</w:t>
      </w:r>
      <w:r w:rsidR="00352762">
        <w:rPr>
          <w:rFonts w:ascii="Arial Nova" w:hAnsi="Arial Nova"/>
          <w:i w:val="0"/>
          <w:iCs w:val="0"/>
          <w:szCs w:val="22"/>
        </w:rPr>
        <w:t xml:space="preserve">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4F895DD4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352762" w:rsidRPr="00352762">
        <w:rPr>
          <w:rFonts w:ascii="Arial Nova" w:hAnsi="Arial Nova"/>
          <w:b w:val="0"/>
          <w:bCs w:val="0"/>
          <w:i w:val="0"/>
          <w:iCs w:val="0"/>
          <w:szCs w:val="22"/>
        </w:rPr>
        <w:t>Willerby Grove</w:t>
      </w:r>
      <w:r w:rsidR="00352762">
        <w:rPr>
          <w:rFonts w:ascii="Arial Nova" w:hAnsi="Arial Nova"/>
          <w:i w:val="0"/>
          <w:iCs w:val="0"/>
          <w:szCs w:val="22"/>
        </w:rPr>
        <w:t xml:space="preserve">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065FB41E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="00352762">
        <w:rPr>
          <w:rFonts w:ascii="Arial Nova" w:hAnsi="Arial Nova"/>
          <w:i w:val="0"/>
          <w:iCs w:val="0"/>
          <w:szCs w:val="22"/>
        </w:rPr>
        <w:t xml:space="preserve"> </w:t>
      </w:r>
      <w:r w:rsidR="00352762"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Curriculum Director </w:t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30EDC446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Attendance Requirements: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846A10">
        <w:rPr>
          <w:rFonts w:ascii="Arial Nova" w:hAnsi="Arial Nova"/>
          <w:b w:val="0"/>
          <w:bCs w:val="0"/>
          <w:i w:val="0"/>
          <w:iCs w:val="0"/>
          <w:szCs w:val="22"/>
        </w:rPr>
        <w:t xml:space="preserve">Full Time </w:t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0BBC672D" w14:textId="02FAA2AA" w:rsidR="00A2611C" w:rsidRPr="00352762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="00846A10">
        <w:rPr>
          <w:rFonts w:ascii="Arial Nova" w:hAnsi="Arial Nova"/>
          <w:b w:val="0"/>
          <w:bCs w:val="0"/>
          <w:i w:val="0"/>
          <w:iCs w:val="0"/>
          <w:szCs w:val="22"/>
        </w:rPr>
        <w:t xml:space="preserve">Band B </w:t>
      </w:r>
      <w:r w:rsidR="00352762" w:rsidRPr="00352762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0B322D0C" w14:textId="77777777" w:rsidR="00352762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2119F28A" w14:textId="77777777" w:rsidR="00352762" w:rsidRPr="00352762" w:rsidRDefault="00352762" w:rsidP="00352762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Join the ED6 Team – Inspire, Innovate, and Shape the Future of our Academic Provision </w:t>
      </w:r>
    </w:p>
    <w:p w14:paraId="7A25D167" w14:textId="5BD17EA9" w:rsidR="00A2611C" w:rsidRPr="00352762" w:rsidRDefault="00352762" w:rsidP="00352762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East Durham Sixth Form (ED6) is expanding its SHAPE provision and is seeking an enthusiastic and dedicated lecturer </w:t>
      </w:r>
      <w:r>
        <w:rPr>
          <w:rFonts w:ascii="Arial Nova" w:hAnsi="Arial Nova"/>
          <w:b w:val="0"/>
          <w:bCs w:val="0"/>
          <w:i w:val="0"/>
          <w:iCs w:val="0"/>
          <w:szCs w:val="22"/>
        </w:rPr>
        <w:t>in Law</w:t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, with a specialism, in either </w:t>
      </w:r>
      <w:r>
        <w:rPr>
          <w:rFonts w:ascii="Arial Nova" w:hAnsi="Arial Nova"/>
          <w:b w:val="0"/>
          <w:bCs w:val="0"/>
          <w:i w:val="0"/>
          <w:iCs w:val="0"/>
          <w:szCs w:val="22"/>
        </w:rPr>
        <w:t>Law, Business</w:t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 or related field</w:t>
      </w:r>
      <w:r>
        <w:rPr>
          <w:rFonts w:ascii="Arial Nova" w:hAnsi="Arial Nova"/>
          <w:b w:val="0"/>
          <w:bCs w:val="0"/>
          <w:i w:val="0"/>
          <w:iCs w:val="0"/>
          <w:szCs w:val="22"/>
        </w:rPr>
        <w:t>.</w:t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 To plan, deliver, and assess high-quality, engaging lessons in AQA A Level Law</w:t>
      </w:r>
      <w:r>
        <w:rPr>
          <w:rFonts w:ascii="Arial Nova" w:hAnsi="Arial Nova"/>
          <w:b w:val="0"/>
          <w:bCs w:val="0"/>
          <w:i w:val="0"/>
          <w:iCs w:val="0"/>
          <w:szCs w:val="22"/>
        </w:rPr>
        <w:t>.</w:t>
      </w:r>
      <w:r w:rsidRPr="00352762">
        <w:rPr>
          <w:rFonts w:ascii="Arial Nova" w:hAnsi="Arial Nova"/>
          <w:b w:val="0"/>
          <w:bCs w:val="0"/>
          <w:i w:val="0"/>
          <w:iCs w:val="0"/>
          <w:szCs w:val="22"/>
        </w:rPr>
        <w:t xml:space="preserve"> The postholder will inspire learners to achieve their academic and personal potential, support progression to higher education or employment, and contribute to the continuous improvement of the sixth form provision.</w:t>
      </w:r>
    </w:p>
    <w:p w14:paraId="7C8C1A8D" w14:textId="5DA9EB20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58D8384E" w14:textId="3AE932F2" w:rsidR="00352762" w:rsidRPr="00352762" w:rsidRDefault="00A2611C" w:rsidP="00352762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  <w:r w:rsidR="00352762" w:rsidRPr="00352762">
        <w:t xml:space="preserve"> </w:t>
      </w:r>
    </w:p>
    <w:p w14:paraId="21AE3FA2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Planning and Delivering Lessons</w:t>
      </w:r>
    </w:p>
    <w:p w14:paraId="35ECFE46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1F4571C1" w14:textId="77777777" w:rsidR="00F42FF2" w:rsidRDefault="00F42FF2" w:rsidP="00F42FF2">
      <w:pPr>
        <w:pStyle w:val="ListParagraph"/>
        <w:numPr>
          <w:ilvl w:val="0"/>
          <w:numId w:val="23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Develop engaging and structured lessons for A Level Economics and Business in line with the relevant AQA exam board specifications.</w:t>
      </w:r>
    </w:p>
    <w:p w14:paraId="31A19664" w14:textId="77777777" w:rsidR="00F42FF2" w:rsidRDefault="00F42FF2" w:rsidP="00F42FF2">
      <w:pPr>
        <w:pStyle w:val="ListParagraph"/>
        <w:numPr>
          <w:ilvl w:val="0"/>
          <w:numId w:val="23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Use a variety of teaching strategies to accommodate different learning styles and abilities.</w:t>
      </w:r>
    </w:p>
    <w:p w14:paraId="677CEAE6" w14:textId="77777777" w:rsidR="00F42FF2" w:rsidRDefault="00F42FF2" w:rsidP="00F42FF2">
      <w:pPr>
        <w:pStyle w:val="ListParagraph"/>
        <w:numPr>
          <w:ilvl w:val="0"/>
          <w:numId w:val="23"/>
        </w:numPr>
        <w:jc w:val="both"/>
        <w:rPr>
          <w:rFonts w:ascii="Arial Nova" w:hAnsi="Arial Nova" w:cs="Arial"/>
          <w:bCs/>
        </w:rPr>
      </w:pPr>
    </w:p>
    <w:p w14:paraId="2D537F5D" w14:textId="4AB8E121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Curriculum Development</w:t>
      </w:r>
    </w:p>
    <w:p w14:paraId="148C344F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7749E55A" w14:textId="31BF7990" w:rsidR="00F42FF2" w:rsidRPr="00F42FF2" w:rsidRDefault="00F42FF2" w:rsidP="00F42FF2">
      <w:pPr>
        <w:pStyle w:val="ListParagraph"/>
        <w:numPr>
          <w:ilvl w:val="0"/>
          <w:numId w:val="24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Contribute to the design and updating of schemes of work, curriculum intent document and course resources.</w:t>
      </w:r>
    </w:p>
    <w:p w14:paraId="68F0B457" w14:textId="1425C05A" w:rsidR="00F42FF2" w:rsidRPr="00F42FF2" w:rsidRDefault="00F42FF2" w:rsidP="00F42FF2">
      <w:pPr>
        <w:pStyle w:val="ListParagraph"/>
        <w:numPr>
          <w:ilvl w:val="0"/>
          <w:numId w:val="24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Ensure teaching materials are current, relevant, and meet the needs of students.</w:t>
      </w:r>
    </w:p>
    <w:p w14:paraId="5232C05F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</w:p>
    <w:p w14:paraId="7543572D" w14:textId="0D67624C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Assessment and Marking</w:t>
      </w:r>
    </w:p>
    <w:p w14:paraId="39E536D8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1CF6096B" w14:textId="77777777" w:rsidR="00F42FF2" w:rsidRDefault="00F42FF2" w:rsidP="00F42FF2">
      <w:pPr>
        <w:pStyle w:val="ListParagraph"/>
        <w:numPr>
          <w:ilvl w:val="0"/>
          <w:numId w:val="25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Set, mark, and moderate internal assessments (e.g. essays, data response questions, mock exams).</w:t>
      </w:r>
    </w:p>
    <w:p w14:paraId="46BD9A30" w14:textId="77777777" w:rsidR="00F42FF2" w:rsidRDefault="00F42FF2" w:rsidP="00F42FF2">
      <w:pPr>
        <w:pStyle w:val="ListParagraph"/>
        <w:numPr>
          <w:ilvl w:val="0"/>
          <w:numId w:val="25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Provide constructive feedback to support student progress.</w:t>
      </w:r>
    </w:p>
    <w:p w14:paraId="0F2E4037" w14:textId="77777777" w:rsidR="00F42FF2" w:rsidRDefault="00F42FF2" w:rsidP="00F42FF2">
      <w:pPr>
        <w:pStyle w:val="ListParagraph"/>
        <w:numPr>
          <w:ilvl w:val="0"/>
          <w:numId w:val="25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Prepare students for external assessments through exam technique and revision sessions.</w:t>
      </w:r>
    </w:p>
    <w:p w14:paraId="35312C42" w14:textId="6E4CB0F9" w:rsidR="00F42FF2" w:rsidRPr="00F42FF2" w:rsidRDefault="00F42FF2" w:rsidP="00F42FF2">
      <w:pPr>
        <w:pStyle w:val="ListParagraph"/>
        <w:numPr>
          <w:ilvl w:val="0"/>
          <w:numId w:val="25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Prepare students for UCAS applications and personal statements</w:t>
      </w:r>
    </w:p>
    <w:p w14:paraId="2B5350D9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</w:p>
    <w:p w14:paraId="6A01B155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</w:p>
    <w:p w14:paraId="3A7BB3E6" w14:textId="36515A4B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Monitoring Student Progress</w:t>
      </w:r>
    </w:p>
    <w:p w14:paraId="4AE98DCF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1D86B6FB" w14:textId="77777777" w:rsidR="00F42FF2" w:rsidRDefault="00F42FF2" w:rsidP="00F42FF2">
      <w:pPr>
        <w:pStyle w:val="ListParagraph"/>
        <w:numPr>
          <w:ilvl w:val="0"/>
          <w:numId w:val="26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lastRenderedPageBreak/>
        <w:t>Track and record student retention, achievement, attendance, and punctuality using college systems.</w:t>
      </w:r>
    </w:p>
    <w:p w14:paraId="52D1B91B" w14:textId="77777777" w:rsidR="00F42FF2" w:rsidRDefault="00F42FF2" w:rsidP="00F42FF2">
      <w:pPr>
        <w:pStyle w:val="ListParagraph"/>
        <w:numPr>
          <w:ilvl w:val="0"/>
          <w:numId w:val="26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Identify underperformance and implement intervention strategies.</w:t>
      </w:r>
    </w:p>
    <w:p w14:paraId="127964AB" w14:textId="64D9A563" w:rsidR="00F42FF2" w:rsidRDefault="00F42FF2" w:rsidP="00F42FF2">
      <w:pPr>
        <w:pStyle w:val="ListParagraph"/>
        <w:numPr>
          <w:ilvl w:val="0"/>
          <w:numId w:val="26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Provide one-to-one academic support and guidance where needed</w:t>
      </w:r>
      <w:r>
        <w:rPr>
          <w:rFonts w:ascii="Arial Nova" w:hAnsi="Arial Nova" w:cs="Arial"/>
          <w:bCs/>
        </w:rPr>
        <w:t>.</w:t>
      </w:r>
    </w:p>
    <w:p w14:paraId="0C06EC8F" w14:textId="77777777" w:rsidR="00F42FF2" w:rsidRPr="00F42FF2" w:rsidRDefault="00F42FF2" w:rsidP="00F42FF2">
      <w:pPr>
        <w:pStyle w:val="ListParagraph"/>
        <w:jc w:val="both"/>
        <w:rPr>
          <w:rFonts w:ascii="Arial Nova" w:hAnsi="Arial Nova" w:cs="Arial"/>
          <w:bCs/>
        </w:rPr>
      </w:pPr>
    </w:p>
    <w:p w14:paraId="5617A32D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Liaising with Colleagues and External Bodies</w:t>
      </w:r>
    </w:p>
    <w:p w14:paraId="29CC67FF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1ED04537" w14:textId="77777777" w:rsidR="00F42FF2" w:rsidRDefault="00F42FF2" w:rsidP="00F42FF2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Work collaboratively with other lecturers and support staff within the sixth form and wider college.</w:t>
      </w:r>
    </w:p>
    <w:p w14:paraId="030FB175" w14:textId="0551665A" w:rsidR="00F42FF2" w:rsidRPr="00F42FF2" w:rsidRDefault="00F42FF2" w:rsidP="00F42FF2">
      <w:pPr>
        <w:pStyle w:val="ListParagraph"/>
        <w:numPr>
          <w:ilvl w:val="0"/>
          <w:numId w:val="27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Liaise with University partners, awarding bodies, attend standardisation meetings, and keep up to date with subject developments.</w:t>
      </w:r>
    </w:p>
    <w:p w14:paraId="49A9F762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</w:p>
    <w:p w14:paraId="0C178DA1" w14:textId="146A3618" w:rsidR="00F42FF2" w:rsidRP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Administration and Quality Assurance</w:t>
      </w:r>
    </w:p>
    <w:p w14:paraId="452D989A" w14:textId="77777777" w:rsidR="00F42FF2" w:rsidRDefault="00F42FF2" w:rsidP="00F42FF2">
      <w:pPr>
        <w:pStyle w:val="ListParagraph"/>
        <w:numPr>
          <w:ilvl w:val="0"/>
          <w:numId w:val="28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Maintain accurate records of student progress and assessment.</w:t>
      </w:r>
    </w:p>
    <w:p w14:paraId="637FF1BF" w14:textId="77777777" w:rsidR="00F42FF2" w:rsidRDefault="00F42FF2" w:rsidP="00F42FF2">
      <w:pPr>
        <w:pStyle w:val="ListParagraph"/>
        <w:numPr>
          <w:ilvl w:val="0"/>
          <w:numId w:val="28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Contribute to departmental self-assessment reports, quality improvement plan and meet internal quality processes.</w:t>
      </w:r>
    </w:p>
    <w:p w14:paraId="03FEDF3A" w14:textId="77777777" w:rsidR="00F42FF2" w:rsidRDefault="00F42FF2" w:rsidP="00F42FF2">
      <w:pPr>
        <w:pStyle w:val="ListParagraph"/>
        <w:numPr>
          <w:ilvl w:val="0"/>
          <w:numId w:val="28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Participate in lesson observations, audits, and inspections as required.</w:t>
      </w:r>
    </w:p>
    <w:p w14:paraId="7590EDB0" w14:textId="77777777" w:rsidR="00F42FF2" w:rsidRDefault="00F42FF2" w:rsidP="00F42FF2">
      <w:pPr>
        <w:jc w:val="both"/>
        <w:rPr>
          <w:rFonts w:ascii="Arial Nova" w:hAnsi="Arial Nova" w:cs="Arial"/>
          <w:bCs/>
        </w:rPr>
      </w:pPr>
    </w:p>
    <w:p w14:paraId="6829247A" w14:textId="2BA860A9" w:rsidR="00F42FF2" w:rsidRDefault="00F42FF2" w:rsidP="00F42FF2">
      <w:p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Enrichment and Recruitmen</w:t>
      </w:r>
      <w:r>
        <w:rPr>
          <w:rFonts w:ascii="Arial Nova" w:hAnsi="Arial Nova" w:cs="Arial"/>
          <w:bCs/>
        </w:rPr>
        <w:t>t</w:t>
      </w:r>
    </w:p>
    <w:p w14:paraId="6D751916" w14:textId="77777777" w:rsidR="00F42FF2" w:rsidRPr="00F42FF2" w:rsidRDefault="00F42FF2" w:rsidP="00F42FF2">
      <w:pPr>
        <w:jc w:val="both"/>
        <w:rPr>
          <w:rFonts w:ascii="Arial Nova" w:hAnsi="Arial Nova" w:cs="Arial"/>
          <w:bCs/>
        </w:rPr>
      </w:pPr>
    </w:p>
    <w:p w14:paraId="0D695E06" w14:textId="7884AB87" w:rsidR="00F42FF2" w:rsidRPr="00F42FF2" w:rsidRDefault="00F42FF2" w:rsidP="00F42FF2">
      <w:pPr>
        <w:pStyle w:val="ListParagraph"/>
        <w:numPr>
          <w:ilvl w:val="0"/>
          <w:numId w:val="29"/>
        </w:numPr>
        <w:jc w:val="both"/>
        <w:rPr>
          <w:rFonts w:ascii="Arial Nova" w:hAnsi="Arial Nova" w:cs="Arial"/>
          <w:bCs/>
        </w:rPr>
      </w:pPr>
      <w:r w:rsidRPr="00F42FF2">
        <w:rPr>
          <w:rFonts w:ascii="Arial Nova" w:hAnsi="Arial Nova" w:cs="Arial"/>
          <w:bCs/>
        </w:rPr>
        <w:t>Support extra-curricular and super-curricular activities, such as business competitions, guest speakers, or trips.</w:t>
      </w:r>
    </w:p>
    <w:p w14:paraId="190A5A41" w14:textId="7426570A" w:rsidR="00A2611C" w:rsidRPr="00F42FF2" w:rsidRDefault="00F42FF2" w:rsidP="00F42FF2">
      <w:pPr>
        <w:pStyle w:val="ListParagraph"/>
        <w:numPr>
          <w:ilvl w:val="0"/>
          <w:numId w:val="29"/>
        </w:numPr>
        <w:jc w:val="both"/>
        <w:rPr>
          <w:rFonts w:ascii="Arial Nova" w:hAnsi="Arial Nova"/>
          <w:bCs/>
          <w:i/>
          <w:iCs/>
        </w:rPr>
      </w:pPr>
      <w:r w:rsidRPr="00F42FF2">
        <w:rPr>
          <w:rFonts w:ascii="Arial Nova" w:hAnsi="Arial Nova" w:cs="Arial"/>
          <w:bCs/>
        </w:rPr>
        <w:t>Participate in recruitment events, interviews, and marketing activities to recruit new students.</w:t>
      </w: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66ADAC7F" w14:textId="17CECC19" w:rsidR="00352762" w:rsidRPr="00F42FF2" w:rsidRDefault="00A2611C" w:rsidP="00F42FF2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5CD5625C" w14:textId="77777777" w:rsidR="00352762" w:rsidRDefault="0035276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5440934" w14:textId="77777777" w:rsidR="00352762" w:rsidRDefault="0035276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42FF2" w:rsidRPr="00413085" w14:paraId="63BF05F0" w14:textId="77777777" w:rsidTr="00C506CB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39B" w14:textId="5929A7D8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 xml:space="preserve">Minimum of Level 6 qualification in Economics / Business or a related discipline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7F7" w14:textId="77777777" w:rsidR="00F42FF2" w:rsidRDefault="00F42FF2" w:rsidP="00F42FF2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</w:p>
          <w:p w14:paraId="57A71048" w14:textId="01EA371E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53B" w14:textId="4F1792AD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8D9" w14:textId="77777777" w:rsidR="00F42FF2" w:rsidRDefault="00F42FF2" w:rsidP="00F42FF2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</w:p>
          <w:p w14:paraId="108BF191" w14:textId="6F32F0FB" w:rsidR="00F42FF2" w:rsidRPr="00E90143" w:rsidRDefault="00F42FF2" w:rsidP="00F42FF2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</w:rPr>
              <w:t>Application form</w:t>
            </w:r>
          </w:p>
        </w:tc>
      </w:tr>
      <w:tr w:rsidR="00F42FF2" w:rsidRPr="00413085" w14:paraId="6078554B" w14:textId="77777777" w:rsidTr="00C506CB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42FF2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9C0" w14:textId="1053CE37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</w:rPr>
              <w:t>GCSE level standard education or equivalent (maths &amp; English)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324" w14:textId="77777777" w:rsidR="00F42FF2" w:rsidRDefault="00F42FF2" w:rsidP="00F42FF2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</w:p>
          <w:p w14:paraId="2D30B890" w14:textId="0DB2DCB3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FAC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005" w14:textId="77777777" w:rsidR="00F42FF2" w:rsidRDefault="00F42FF2" w:rsidP="00F42FF2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</w:p>
          <w:p w14:paraId="4AA2BEA3" w14:textId="42E158B9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</w:t>
            </w:r>
          </w:p>
        </w:tc>
      </w:tr>
      <w:tr w:rsidR="00F42FF2" w:rsidRPr="00413085" w14:paraId="695E7F9A" w14:textId="77777777" w:rsidTr="00C506CB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2D8" w14:textId="5A1580EE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 level 5 or above teaching qualification (Cert Ed/PGCE/DTLLS) or willing to work towards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32D" w14:textId="06000E7E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3B8" w14:textId="6A600B8F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2AD" w14:textId="4B38BE0E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2FF2" w:rsidRPr="00413085" w14:paraId="62AFAC11" w14:textId="77777777" w:rsidTr="00DD10CE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293" w14:textId="577E7EFB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t>Experience of delivery to a wide range of learners (14-19+)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B88" w14:textId="2BDDC89A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CDE4" w14:textId="2ADA3D79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014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555C5FEE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4219611F" w14:textId="53D8FDEF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ascii="Calibri" w:hAnsi="Calibri"/>
                <w:sz w:val="24"/>
              </w:rPr>
              <w:t>Micro</w:t>
            </w:r>
            <w:proofErr w:type="gramEnd"/>
            <w:r>
              <w:rPr>
                <w:rFonts w:ascii="Calibri" w:hAnsi="Calibri"/>
                <w:sz w:val="24"/>
              </w:rPr>
              <w:t xml:space="preserve"> teach </w:t>
            </w:r>
          </w:p>
        </w:tc>
      </w:tr>
      <w:tr w:rsidR="00F42FF2" w:rsidRPr="00413085" w14:paraId="789D2201" w14:textId="77777777" w:rsidTr="00DD10CE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2FC" w14:textId="469296CF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t>Experience of successfully teaching on A Level programmes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926" w14:textId="00B06D01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B35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EC3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720A166F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29428961" w14:textId="080BA37D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ascii="Calibri" w:hAnsi="Calibri"/>
                <w:sz w:val="24"/>
              </w:rPr>
              <w:t>Micro</w:t>
            </w:r>
            <w:proofErr w:type="gramEnd"/>
            <w:r>
              <w:rPr>
                <w:rFonts w:ascii="Calibri" w:hAnsi="Calibri"/>
                <w:sz w:val="24"/>
              </w:rPr>
              <w:t xml:space="preserve"> teach</w:t>
            </w:r>
          </w:p>
        </w:tc>
      </w:tr>
      <w:tr w:rsidR="00F42FF2" w:rsidRPr="00413085" w14:paraId="7B303D0E" w14:textId="77777777" w:rsidTr="00DD10CE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81" w14:textId="418BB7B8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t>Proven track record of delivering good and better teaching.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36F" w14:textId="2813E85C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808" w14:textId="3F81E8A9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516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268C614B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5CD1E44D" w14:textId="0A2202A0" w:rsidR="00F42FF2" w:rsidRPr="00E90143" w:rsidRDefault="00F42FF2" w:rsidP="00F42FF2">
            <w:pPr>
              <w:rPr>
                <w:color w:val="000000" w:themeColor="text1"/>
              </w:rPr>
            </w:pPr>
            <w:proofErr w:type="gramStart"/>
            <w:r>
              <w:rPr>
                <w:rFonts w:ascii="Calibri" w:hAnsi="Calibri"/>
                <w:sz w:val="24"/>
              </w:rPr>
              <w:t>Micro</w:t>
            </w:r>
            <w:proofErr w:type="gramEnd"/>
            <w:r>
              <w:rPr>
                <w:rFonts w:ascii="Calibri" w:hAnsi="Calibri"/>
                <w:sz w:val="24"/>
              </w:rPr>
              <w:t xml:space="preserve"> teach</w:t>
            </w:r>
          </w:p>
        </w:tc>
      </w:tr>
      <w:tr w:rsidR="00F42FF2" w:rsidRPr="00413085" w14:paraId="479E065F" w14:textId="77777777" w:rsidTr="00DD10CE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389" w14:textId="727D4BD7" w:rsidR="00F42FF2" w:rsidRPr="00E90143" w:rsidRDefault="00F42FF2" w:rsidP="00F42FF2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Experience of teaching a range of Level 3 Humanities subjects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0DC" w14:textId="43CFF6AE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357" w14:textId="4BD36FE4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02E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67A899B9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5D52AC04" w14:textId="17CAA83F" w:rsidR="00F42FF2" w:rsidRPr="00E90143" w:rsidRDefault="00F42FF2" w:rsidP="00F42FF2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931C63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F42FF2" w:rsidRPr="00413085" w14:paraId="2068D3B5" w14:textId="77777777" w:rsidTr="00124E5C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981" w14:textId="6CADAA3D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t>Ability to manage own workload and meet deadlines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9E3" w14:textId="5D68E4A3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300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326F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67539168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459FD986" w14:textId="1AB3A2B6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</w:tr>
      <w:tr w:rsidR="00F42FF2" w:rsidRPr="00413085" w14:paraId="61D1A1DF" w14:textId="77777777" w:rsidTr="00124E5C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9AF" w14:textId="0BFE2EC2" w:rsidR="00F42FF2" w:rsidRPr="00E90143" w:rsidRDefault="00F42FF2" w:rsidP="00F42FF2">
            <w:pPr>
              <w:rPr>
                <w:rFonts w:cs="Arial"/>
                <w:color w:val="000000" w:themeColor="text1"/>
              </w:rPr>
            </w:pPr>
            <w:r>
              <w:t>Ability to monitor and analyse data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111" w14:textId="31547223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8DA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242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41B0D3C6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7BE380D0" w14:textId="5B882DD0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</w:tr>
      <w:tr w:rsidR="00F42FF2" w:rsidRPr="00413085" w14:paraId="212456CA" w14:textId="77777777" w:rsidTr="00124E5C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363C040E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58F" w14:textId="37B93CCE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teach to a wide range of abilities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936" w14:textId="585E7790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12E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927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7BEF0ED6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53633CE7" w14:textId="6976FFB3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</w:tr>
      <w:tr w:rsidR="00F42FF2" w:rsidRPr="00413085" w14:paraId="2F602CCA" w14:textId="77777777" w:rsidTr="00124E5C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206FF435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1E5" w14:textId="1D19277F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t>Excellent communication and organisation skills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DCE" w14:textId="690D016F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9D7" w14:textId="3EC6CFB9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869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2DD29C01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49CBED6C" w14:textId="2CAE88E7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</w:tr>
      <w:tr w:rsidR="00F42FF2" w:rsidRPr="00413085" w14:paraId="7D3A6AB3" w14:textId="77777777" w:rsidTr="00124E5C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3902774E" w14:textId="1E5680A3" w:rsidR="00F42FF2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3.5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D80" w14:textId="03B78D43" w:rsidR="00F42FF2" w:rsidRPr="00E90143" w:rsidRDefault="00F42FF2" w:rsidP="00F42FF2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t>Ability to work effectively as part of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9E2" w14:textId="33B2EDFA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E0C2" w14:textId="77777777" w:rsidR="00F42FF2" w:rsidRPr="00E90143" w:rsidRDefault="00F42FF2" w:rsidP="00F42FF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0DB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Application form</w:t>
            </w:r>
          </w:p>
          <w:p w14:paraId="740AD4DF" w14:textId="77777777" w:rsidR="00F42FF2" w:rsidRDefault="00F42FF2" w:rsidP="00F42FF2">
            <w:pPr>
              <w:spacing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Interview</w:t>
            </w:r>
          </w:p>
          <w:p w14:paraId="5F633D7A" w14:textId="77777777" w:rsidR="00F42FF2" w:rsidRPr="00E90143" w:rsidRDefault="00F42FF2" w:rsidP="00F42FF2">
            <w:pPr>
              <w:jc w:val="center"/>
              <w:rPr>
                <w:color w:val="000000" w:themeColor="text1"/>
              </w:rPr>
            </w:pPr>
          </w:p>
        </w:tc>
      </w:tr>
      <w:tr w:rsidR="00413085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D6E1A87" w14:textId="77777777" w:rsidR="00F5037F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  <w:p w14:paraId="1066F8E9" w14:textId="3FCBC317" w:rsidR="00F42FF2" w:rsidRPr="00413085" w:rsidRDefault="00F42FF2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Microteach </w:t>
            </w:r>
          </w:p>
        </w:tc>
      </w:tr>
      <w:tr w:rsidR="00F5037F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233C8481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BC9BDBF" w14:textId="233D80BC" w:rsidR="00F5037F" w:rsidRPr="00413085" w:rsidRDefault="00F42FF2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45810DB2" w14:textId="63B40ED8" w:rsidR="00F5037F" w:rsidRPr="00413085" w:rsidRDefault="00F5037F" w:rsidP="0055637A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1CDF" w14:textId="77777777" w:rsidR="00FD0EBF" w:rsidRDefault="00FD0EBF" w:rsidP="00931C63">
      <w:r>
        <w:separator/>
      </w:r>
    </w:p>
  </w:endnote>
  <w:endnote w:type="continuationSeparator" w:id="0">
    <w:p w14:paraId="7DF8E12B" w14:textId="77777777" w:rsidR="00FD0EBF" w:rsidRDefault="00FD0EBF" w:rsidP="00931C63">
      <w:r>
        <w:continuationSeparator/>
      </w:r>
    </w:p>
  </w:endnote>
  <w:endnote w:type="continuationNotice" w:id="1">
    <w:p w14:paraId="58B09006" w14:textId="77777777" w:rsidR="00FD0EBF" w:rsidRDefault="00FD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EE80" w14:textId="77777777" w:rsidR="00FD0EBF" w:rsidRDefault="00FD0EBF" w:rsidP="00931C63">
      <w:r>
        <w:separator/>
      </w:r>
    </w:p>
  </w:footnote>
  <w:footnote w:type="continuationSeparator" w:id="0">
    <w:p w14:paraId="0323EC13" w14:textId="77777777" w:rsidR="00FD0EBF" w:rsidRDefault="00FD0EBF" w:rsidP="00931C63">
      <w:r>
        <w:continuationSeparator/>
      </w:r>
    </w:p>
  </w:footnote>
  <w:footnote w:type="continuationNotice" w:id="1">
    <w:p w14:paraId="4E7B089A" w14:textId="77777777" w:rsidR="00FD0EBF" w:rsidRDefault="00FD0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0922"/>
    <w:multiLevelType w:val="hybridMultilevel"/>
    <w:tmpl w:val="369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84ACE"/>
    <w:multiLevelType w:val="hybridMultilevel"/>
    <w:tmpl w:val="F126C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840A7"/>
    <w:multiLevelType w:val="hybridMultilevel"/>
    <w:tmpl w:val="8EFA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629F0"/>
    <w:multiLevelType w:val="hybridMultilevel"/>
    <w:tmpl w:val="6F1C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5E62"/>
    <w:multiLevelType w:val="hybridMultilevel"/>
    <w:tmpl w:val="2D4E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64ECE"/>
    <w:multiLevelType w:val="hybridMultilevel"/>
    <w:tmpl w:val="127C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81806">
      <w:numFmt w:val="bullet"/>
      <w:lvlText w:val="•"/>
      <w:lvlJc w:val="left"/>
      <w:pPr>
        <w:ind w:left="1800" w:hanging="720"/>
      </w:pPr>
      <w:rPr>
        <w:rFonts w:ascii="Arial Nova" w:eastAsia="Times New Roman" w:hAnsi="Arial Nov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A7F75"/>
    <w:multiLevelType w:val="hybridMultilevel"/>
    <w:tmpl w:val="5B72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1AE4"/>
    <w:multiLevelType w:val="hybridMultilevel"/>
    <w:tmpl w:val="A37C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86048">
    <w:abstractNumId w:val="18"/>
  </w:num>
  <w:num w:numId="2" w16cid:durableId="1931348652">
    <w:abstractNumId w:val="13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11"/>
  </w:num>
  <w:num w:numId="6" w16cid:durableId="1391229554">
    <w:abstractNumId w:val="8"/>
  </w:num>
  <w:num w:numId="7" w16cid:durableId="1281375818">
    <w:abstractNumId w:val="21"/>
  </w:num>
  <w:num w:numId="8" w16cid:durableId="889421015">
    <w:abstractNumId w:val="6"/>
  </w:num>
  <w:num w:numId="9" w16cid:durableId="1411806259">
    <w:abstractNumId w:val="5"/>
  </w:num>
  <w:num w:numId="10" w16cid:durableId="1456827265">
    <w:abstractNumId w:val="24"/>
  </w:num>
  <w:num w:numId="11" w16cid:durableId="624696271">
    <w:abstractNumId w:val="22"/>
  </w:num>
  <w:num w:numId="12" w16cid:durableId="306594491">
    <w:abstractNumId w:val="2"/>
  </w:num>
  <w:num w:numId="13" w16cid:durableId="253904380">
    <w:abstractNumId w:val="25"/>
  </w:num>
  <w:num w:numId="14" w16cid:durableId="1559704291">
    <w:abstractNumId w:val="16"/>
  </w:num>
  <w:num w:numId="15" w16cid:durableId="238827394">
    <w:abstractNumId w:val="23"/>
  </w:num>
  <w:num w:numId="16" w16cid:durableId="1817142648">
    <w:abstractNumId w:val="3"/>
  </w:num>
  <w:num w:numId="17" w16cid:durableId="520097068">
    <w:abstractNumId w:val="10"/>
  </w:num>
  <w:num w:numId="18" w16cid:durableId="896553113">
    <w:abstractNumId w:val="15"/>
  </w:num>
  <w:num w:numId="19" w16cid:durableId="1072774668">
    <w:abstractNumId w:val="26"/>
  </w:num>
  <w:num w:numId="20" w16cid:durableId="1889226101">
    <w:abstractNumId w:val="20"/>
  </w:num>
  <w:num w:numId="21" w16cid:durableId="962855171">
    <w:abstractNumId w:val="4"/>
  </w:num>
  <w:num w:numId="22" w16cid:durableId="1083255450">
    <w:abstractNumId w:val="12"/>
  </w:num>
  <w:num w:numId="23" w16cid:durableId="1245142527">
    <w:abstractNumId w:val="19"/>
  </w:num>
  <w:num w:numId="24" w16cid:durableId="1343627086">
    <w:abstractNumId w:val="14"/>
  </w:num>
  <w:num w:numId="25" w16cid:durableId="842816522">
    <w:abstractNumId w:val="17"/>
  </w:num>
  <w:num w:numId="26" w16cid:durableId="821503414">
    <w:abstractNumId w:val="28"/>
  </w:num>
  <w:num w:numId="27" w16cid:durableId="1838416769">
    <w:abstractNumId w:val="9"/>
  </w:num>
  <w:num w:numId="28" w16cid:durableId="342587100">
    <w:abstractNumId w:val="7"/>
  </w:num>
  <w:num w:numId="29" w16cid:durableId="6587261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43404"/>
    <w:rsid w:val="000512F0"/>
    <w:rsid w:val="000749CC"/>
    <w:rsid w:val="00082AB0"/>
    <w:rsid w:val="00083F72"/>
    <w:rsid w:val="000863C8"/>
    <w:rsid w:val="000A1A99"/>
    <w:rsid w:val="000A5DF2"/>
    <w:rsid w:val="000A7EE4"/>
    <w:rsid w:val="000F023F"/>
    <w:rsid w:val="000F3457"/>
    <w:rsid w:val="000F5F9B"/>
    <w:rsid w:val="00105866"/>
    <w:rsid w:val="001A4551"/>
    <w:rsid w:val="001B147F"/>
    <w:rsid w:val="001B2887"/>
    <w:rsid w:val="001B36D8"/>
    <w:rsid w:val="001C756B"/>
    <w:rsid w:val="00204007"/>
    <w:rsid w:val="00204EEA"/>
    <w:rsid w:val="00223D00"/>
    <w:rsid w:val="00231D9A"/>
    <w:rsid w:val="00263BCC"/>
    <w:rsid w:val="00276010"/>
    <w:rsid w:val="00281BC2"/>
    <w:rsid w:val="002D2055"/>
    <w:rsid w:val="002D4A04"/>
    <w:rsid w:val="002F4324"/>
    <w:rsid w:val="002F5EA8"/>
    <w:rsid w:val="00305787"/>
    <w:rsid w:val="00306449"/>
    <w:rsid w:val="00332CA1"/>
    <w:rsid w:val="00343AB7"/>
    <w:rsid w:val="00352762"/>
    <w:rsid w:val="00390739"/>
    <w:rsid w:val="00392B25"/>
    <w:rsid w:val="003A6F21"/>
    <w:rsid w:val="003B012A"/>
    <w:rsid w:val="00412F9F"/>
    <w:rsid w:val="00413085"/>
    <w:rsid w:val="004540E7"/>
    <w:rsid w:val="00490E0F"/>
    <w:rsid w:val="004A2279"/>
    <w:rsid w:val="004B1F0F"/>
    <w:rsid w:val="004E5BF3"/>
    <w:rsid w:val="004F499D"/>
    <w:rsid w:val="00525B6B"/>
    <w:rsid w:val="005468C8"/>
    <w:rsid w:val="0055637A"/>
    <w:rsid w:val="00563567"/>
    <w:rsid w:val="00584828"/>
    <w:rsid w:val="005B1A30"/>
    <w:rsid w:val="00633803"/>
    <w:rsid w:val="00645F3F"/>
    <w:rsid w:val="00654712"/>
    <w:rsid w:val="00671BBE"/>
    <w:rsid w:val="00715E3B"/>
    <w:rsid w:val="00733644"/>
    <w:rsid w:val="00734781"/>
    <w:rsid w:val="00734A1D"/>
    <w:rsid w:val="007417E2"/>
    <w:rsid w:val="0077083B"/>
    <w:rsid w:val="00772BC8"/>
    <w:rsid w:val="007812ED"/>
    <w:rsid w:val="0078711E"/>
    <w:rsid w:val="007C74C6"/>
    <w:rsid w:val="00811267"/>
    <w:rsid w:val="008139D4"/>
    <w:rsid w:val="00814F36"/>
    <w:rsid w:val="008254F8"/>
    <w:rsid w:val="008272BB"/>
    <w:rsid w:val="0084326F"/>
    <w:rsid w:val="00845179"/>
    <w:rsid w:val="00846A10"/>
    <w:rsid w:val="00851D4B"/>
    <w:rsid w:val="008546B4"/>
    <w:rsid w:val="008661C6"/>
    <w:rsid w:val="00893AE2"/>
    <w:rsid w:val="008A30AF"/>
    <w:rsid w:val="00913E3E"/>
    <w:rsid w:val="00931C63"/>
    <w:rsid w:val="00990BD6"/>
    <w:rsid w:val="009D00B5"/>
    <w:rsid w:val="009E13ED"/>
    <w:rsid w:val="00A2585F"/>
    <w:rsid w:val="00A2611C"/>
    <w:rsid w:val="00A35820"/>
    <w:rsid w:val="00A80110"/>
    <w:rsid w:val="00A9064A"/>
    <w:rsid w:val="00A949EC"/>
    <w:rsid w:val="00AA2F8B"/>
    <w:rsid w:val="00AA7FEC"/>
    <w:rsid w:val="00B11D36"/>
    <w:rsid w:val="00B13DC3"/>
    <w:rsid w:val="00B25E4D"/>
    <w:rsid w:val="00B30387"/>
    <w:rsid w:val="00B405EA"/>
    <w:rsid w:val="00B6022F"/>
    <w:rsid w:val="00B6218F"/>
    <w:rsid w:val="00B76BD1"/>
    <w:rsid w:val="00B9407B"/>
    <w:rsid w:val="00BB07E9"/>
    <w:rsid w:val="00BD159A"/>
    <w:rsid w:val="00C130A4"/>
    <w:rsid w:val="00C52B52"/>
    <w:rsid w:val="00C662EE"/>
    <w:rsid w:val="00C7569F"/>
    <w:rsid w:val="00C81178"/>
    <w:rsid w:val="00C817E2"/>
    <w:rsid w:val="00D02ADD"/>
    <w:rsid w:val="00D23FFE"/>
    <w:rsid w:val="00D26BC8"/>
    <w:rsid w:val="00D401A5"/>
    <w:rsid w:val="00D47A1F"/>
    <w:rsid w:val="00D719F5"/>
    <w:rsid w:val="00D94DE5"/>
    <w:rsid w:val="00D951FB"/>
    <w:rsid w:val="00DB67B3"/>
    <w:rsid w:val="00DC3528"/>
    <w:rsid w:val="00DC452C"/>
    <w:rsid w:val="00DD20D3"/>
    <w:rsid w:val="00E07114"/>
    <w:rsid w:val="00E246C7"/>
    <w:rsid w:val="00E543D1"/>
    <w:rsid w:val="00E64AC6"/>
    <w:rsid w:val="00E90143"/>
    <w:rsid w:val="00EB143C"/>
    <w:rsid w:val="00EC1CE4"/>
    <w:rsid w:val="00EF6B7D"/>
    <w:rsid w:val="00F04065"/>
    <w:rsid w:val="00F07B65"/>
    <w:rsid w:val="00F42FF2"/>
    <w:rsid w:val="00F5037F"/>
    <w:rsid w:val="00F62768"/>
    <w:rsid w:val="00F67F42"/>
    <w:rsid w:val="00F722B5"/>
    <w:rsid w:val="00F95ADE"/>
    <w:rsid w:val="00FD0EBF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0E28B2E3419468AC4800E81C7803C" ma:contentTypeVersion="14" ma:contentTypeDescription="Create a new document." ma:contentTypeScope="" ma:versionID="df73c63d79c717e2422c91499d364292">
  <xsd:schema xmlns:xsd="http://www.w3.org/2001/XMLSchema" xmlns:xs="http://www.w3.org/2001/XMLSchema" xmlns:p="http://schemas.microsoft.com/office/2006/metadata/properties" xmlns:ns2="5b2710d5-eb8c-4788-afb5-96ca38a6a5b8" xmlns:ns3="0a23874a-4f23-4920-854a-6bfed6a5c3d0" targetNamespace="http://schemas.microsoft.com/office/2006/metadata/properties" ma:root="true" ma:fieldsID="9f2501d7f5d1b93b844661b9684a23c9" ns2:_="" ns3:_="">
    <xsd:import namespace="5b2710d5-eb8c-4788-afb5-96ca38a6a5b8"/>
    <xsd:import namespace="0a23874a-4f23-4920-854a-6bfed6a5c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0d5-eb8c-4788-afb5-96ca38a6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874a-4f23-4920-854a-6bfed6a5c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aa0336d-5400-4884-8948-c36c3f53427c}" ma:internalName="TaxCatchAll" ma:showField="CatchAllData" ma:web="0a23874a-4f23-4920-854a-6bfed6a5c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3874a-4f23-4920-854a-6bfed6a5c3d0" xsi:nil="true"/>
    <lcf76f155ced4ddcb4097134ff3c332f xmlns="5b2710d5-eb8c-4788-afb5-96ca38a6a5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6E495-1C89-4A70-BB46-3BB1429B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0d5-eb8c-4788-afb5-96ca38a6a5b8"/>
    <ds:schemaRef ds:uri="0a23874a-4f23-4920-854a-6bfed6a5c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0a23874a-4f23-4920-854a-6bfed6a5c3d0"/>
    <ds:schemaRef ds:uri="5b2710d5-eb8c-4788-afb5-96ca38a6a5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shastewart</dc:creator>
  <cp:lastModifiedBy>VASEY, Holly</cp:lastModifiedBy>
  <cp:revision>2</cp:revision>
  <cp:lastPrinted>2018-06-20T09:33:00Z</cp:lastPrinted>
  <dcterms:created xsi:type="dcterms:W3CDTF">2025-06-18T11:10:00Z</dcterms:created>
  <dcterms:modified xsi:type="dcterms:W3CDTF">2025-06-18T11:10:00Z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0x010100D520E28B2E3419468AC4800E81C7803C</vt:lpwstr>
  </property>
  <property fmtid="{D5CDD505-2E9C-101B-9397-08002B2CF9AE}" pid="4" name="_dlc_DocIdItemGuid">
    <vt:lpwstr>26a91e50-7bd4-481c-991f-7f6b5e320ff7</vt:lpwstr>
  </property>
  <property fmtid="{D5CDD505-2E9C-101B-9397-08002B2CF9AE}" pid="5" name="MediaServiceImageTags">
    <vt:lpwstr/>
  </property>
</Properties>
</file>